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7D" w:rsidRPr="00D65CDB" w:rsidRDefault="00F8517D" w:rsidP="00826DE1">
      <w:pPr>
        <w:spacing w:line="240" w:lineRule="auto"/>
        <w:ind w:left="1418"/>
        <w:contextualSpacing/>
        <w:rPr>
          <w:rFonts w:ascii="Arial" w:hAnsi="Arial" w:cs="Arial"/>
          <w:bCs/>
        </w:rPr>
      </w:pPr>
    </w:p>
    <w:p w:rsidR="00866FAE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LICITACIÓN PUBLICA N</w:t>
      </w:r>
      <w:r>
        <w:rPr>
          <w:rFonts w:ascii="Arial" w:hAnsi="Arial" w:cs="Arial"/>
          <w:b/>
          <w:sz w:val="24"/>
          <w:szCs w:val="24"/>
        </w:rPr>
        <w:t>°: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AF42D5">
        <w:rPr>
          <w:rFonts w:ascii="Arial" w:hAnsi="Arial" w:cs="Arial"/>
          <w:sz w:val="24"/>
          <w:szCs w:val="24"/>
        </w:rPr>
        <w:t>3</w:t>
      </w:r>
      <w:r w:rsidRPr="00810E65">
        <w:rPr>
          <w:rFonts w:ascii="Arial" w:hAnsi="Arial" w:cs="Arial"/>
          <w:sz w:val="24"/>
          <w:szCs w:val="24"/>
        </w:rPr>
        <w:t>/2019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EXPEDIENTE Nº</w:t>
      </w:r>
      <w:r>
        <w:rPr>
          <w:rFonts w:ascii="Arial" w:hAnsi="Arial" w:cs="Arial"/>
          <w:b/>
          <w:sz w:val="24"/>
          <w:szCs w:val="24"/>
        </w:rPr>
        <w:t>: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2915-951</w:t>
      </w:r>
      <w:r w:rsidR="00AF42D5">
        <w:rPr>
          <w:rFonts w:ascii="Arial" w:hAnsi="Arial" w:cs="Arial"/>
          <w:sz w:val="24"/>
          <w:szCs w:val="24"/>
        </w:rPr>
        <w:t>4</w:t>
      </w:r>
      <w:r w:rsidRPr="00810E65">
        <w:rPr>
          <w:rFonts w:ascii="Arial" w:hAnsi="Arial" w:cs="Arial"/>
          <w:sz w:val="24"/>
          <w:szCs w:val="24"/>
        </w:rPr>
        <w:t>/2019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 xml:space="preserve"> APERTURA</w:t>
      </w:r>
      <w:r w:rsidRPr="00810E65">
        <w:rPr>
          <w:rFonts w:ascii="Arial" w:hAnsi="Arial" w:cs="Arial"/>
          <w:b/>
          <w:sz w:val="24"/>
          <w:szCs w:val="24"/>
        </w:rPr>
        <w:t xml:space="preserve">: </w:t>
      </w:r>
      <w:r w:rsidR="00F17A7E">
        <w:rPr>
          <w:rFonts w:ascii="Arial" w:hAnsi="Arial" w:cs="Arial"/>
          <w:sz w:val="24"/>
          <w:szCs w:val="24"/>
        </w:rPr>
        <w:t>0</w:t>
      </w:r>
      <w:r w:rsidR="00F17A7E" w:rsidRPr="00F17A7E">
        <w:rPr>
          <w:rFonts w:ascii="Arial" w:hAnsi="Arial" w:cs="Arial"/>
          <w:sz w:val="24"/>
          <w:szCs w:val="24"/>
        </w:rPr>
        <w:t>3</w:t>
      </w:r>
      <w:r w:rsidRPr="00F17A7E">
        <w:rPr>
          <w:rFonts w:ascii="Arial" w:hAnsi="Arial" w:cs="Arial"/>
          <w:sz w:val="24"/>
          <w:szCs w:val="24"/>
        </w:rPr>
        <w:t>/0</w:t>
      </w:r>
      <w:r w:rsidR="00F17A7E" w:rsidRPr="00F17A7E">
        <w:rPr>
          <w:rFonts w:ascii="Arial" w:hAnsi="Arial" w:cs="Arial"/>
          <w:sz w:val="24"/>
          <w:szCs w:val="24"/>
        </w:rPr>
        <w:t>4</w:t>
      </w:r>
      <w:r w:rsidRPr="00810E65">
        <w:rPr>
          <w:rFonts w:ascii="Arial" w:hAnsi="Arial" w:cs="Arial"/>
          <w:sz w:val="24"/>
          <w:szCs w:val="24"/>
        </w:rPr>
        <w:t>/2019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HORA</w:t>
      </w:r>
      <w:r>
        <w:rPr>
          <w:rFonts w:ascii="Arial" w:hAnsi="Arial" w:cs="Arial"/>
          <w:b/>
          <w:sz w:val="24"/>
          <w:szCs w:val="24"/>
        </w:rPr>
        <w:t xml:space="preserve"> APERTUTA</w:t>
      </w:r>
      <w:r w:rsidRPr="00810E65">
        <w:rPr>
          <w:rFonts w:ascii="Arial" w:hAnsi="Arial" w:cs="Arial"/>
          <w:b/>
          <w:sz w:val="24"/>
          <w:szCs w:val="24"/>
        </w:rPr>
        <w:t xml:space="preserve">: </w:t>
      </w:r>
      <w:r w:rsidRPr="00810E65">
        <w:rPr>
          <w:rFonts w:ascii="Arial" w:hAnsi="Arial" w:cs="Arial"/>
          <w:sz w:val="24"/>
          <w:szCs w:val="24"/>
        </w:rPr>
        <w:t>09:00</w:t>
      </w:r>
    </w:p>
    <w:p w:rsidR="00AF42D5" w:rsidRDefault="00866FAE" w:rsidP="00AF4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 xml:space="preserve">OBJETO DE LA LICITACIÓN: </w:t>
      </w:r>
      <w:r w:rsidRPr="00810E65">
        <w:rPr>
          <w:rFonts w:ascii="Arial" w:hAnsi="Arial" w:cs="Arial"/>
          <w:sz w:val="24"/>
          <w:szCs w:val="24"/>
        </w:rPr>
        <w:t xml:space="preserve">Contratación </w:t>
      </w:r>
      <w:r w:rsidR="00AF42D5" w:rsidRPr="00AF42D5">
        <w:rPr>
          <w:rFonts w:ascii="Arial" w:hAnsi="Arial" w:cs="Arial"/>
          <w:sz w:val="24"/>
          <w:szCs w:val="24"/>
        </w:rPr>
        <w:t>del Servicio de Gestión, Operación y Mantenimiento del Recurso Físico Edilicio e Instalaciones y el Servicio de Mantenimiento y Conservación Edilicia de Muros Exteriores y Cubiertas Superiores del hospital de Alta Complejidad El Cruce S.A.M.I.C.</w:t>
      </w:r>
      <w:r w:rsidR="00AF42D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866FAE" w:rsidRPr="00D65CDB" w:rsidRDefault="00866FAE" w:rsidP="00826DE1">
      <w:pPr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826DE1" w:rsidRPr="00D65CDB" w:rsidRDefault="00361B98" w:rsidP="00826DE1">
      <w:pPr>
        <w:spacing w:line="240" w:lineRule="auto"/>
        <w:contextualSpacing/>
        <w:jc w:val="right"/>
        <w:rPr>
          <w:rFonts w:ascii="Arial" w:hAnsi="Arial" w:cs="Arial"/>
          <w:b/>
          <w:bCs/>
        </w:rPr>
      </w:pPr>
      <w:r w:rsidRPr="00D65CDB">
        <w:rPr>
          <w:rFonts w:ascii="Arial" w:hAnsi="Arial" w:cs="Arial"/>
          <w:b/>
          <w:bCs/>
        </w:rPr>
        <w:t xml:space="preserve">Buenos Aires, </w:t>
      </w:r>
      <w:r w:rsidR="00F17A7E">
        <w:rPr>
          <w:rFonts w:ascii="Arial" w:hAnsi="Arial" w:cs="Arial"/>
          <w:b/>
          <w:bCs/>
        </w:rPr>
        <w:t>22</w:t>
      </w:r>
      <w:r w:rsidR="00826DE1" w:rsidRPr="00D65CDB">
        <w:rPr>
          <w:rFonts w:ascii="Arial" w:hAnsi="Arial" w:cs="Arial"/>
          <w:b/>
          <w:bCs/>
        </w:rPr>
        <w:t xml:space="preserve"> de Marzo de 2019</w:t>
      </w:r>
    </w:p>
    <w:p w:rsidR="00826DE1" w:rsidRPr="00D65CDB" w:rsidRDefault="00826DE1" w:rsidP="00826DE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826DE1" w:rsidRPr="00D65CDB" w:rsidRDefault="00826DE1" w:rsidP="00826DE1">
      <w:pPr>
        <w:spacing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74150" w:rsidRPr="00D65CDB" w:rsidRDefault="000C26E2" w:rsidP="00826DE1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D65CDB">
        <w:rPr>
          <w:rFonts w:ascii="Arial" w:hAnsi="Arial" w:cs="Arial"/>
          <w:b/>
          <w:bCs/>
        </w:rPr>
        <w:t>Sres:</w:t>
      </w:r>
    </w:p>
    <w:p w:rsidR="00874150" w:rsidRPr="00D65CDB" w:rsidRDefault="00874150" w:rsidP="00826DE1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874150" w:rsidRPr="00D65CDB" w:rsidRDefault="00874150" w:rsidP="00826DE1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65CDB">
        <w:rPr>
          <w:rFonts w:ascii="Arial" w:hAnsi="Arial" w:cs="Arial"/>
          <w:bCs/>
        </w:rPr>
        <w:t xml:space="preserve">Nos dirigimos a Ustedes, con relación al proceso de adquisición citado en el epígrafe, a fin de comunicarles, conforme a lo establecido en la cláusula 4 (Consultas y Aclaraciones) del </w:t>
      </w:r>
      <w:r w:rsidRPr="00961456">
        <w:rPr>
          <w:rFonts w:ascii="Arial" w:hAnsi="Arial" w:cs="Arial"/>
          <w:bCs/>
        </w:rPr>
        <w:t>Pliego de Condiciones Particulares</w:t>
      </w:r>
      <w:r w:rsidR="000F7C28" w:rsidRPr="00961456">
        <w:rPr>
          <w:rFonts w:ascii="Arial" w:hAnsi="Arial" w:cs="Arial"/>
          <w:bCs/>
        </w:rPr>
        <w:t xml:space="preserve"> (PCP)</w:t>
      </w:r>
      <w:r w:rsidRPr="00961456">
        <w:rPr>
          <w:rFonts w:ascii="Arial" w:hAnsi="Arial" w:cs="Arial"/>
          <w:bCs/>
        </w:rPr>
        <w:t xml:space="preserve">, la </w:t>
      </w:r>
      <w:r w:rsidR="00F17A7E" w:rsidRPr="00F17A7E">
        <w:rPr>
          <w:rFonts w:ascii="Arial" w:hAnsi="Arial" w:cs="Arial"/>
          <w:b/>
          <w:bCs/>
        </w:rPr>
        <w:t xml:space="preserve">Circular por Consulta </w:t>
      </w:r>
      <w:r w:rsidRPr="00F17A7E">
        <w:rPr>
          <w:rFonts w:ascii="Arial" w:hAnsi="Arial" w:cs="Arial"/>
          <w:b/>
          <w:bCs/>
        </w:rPr>
        <w:t>N</w:t>
      </w:r>
      <w:r w:rsidRPr="00961456">
        <w:rPr>
          <w:rFonts w:ascii="Arial" w:hAnsi="Arial" w:cs="Arial"/>
          <w:b/>
          <w:bCs/>
        </w:rPr>
        <w:t>° 1</w:t>
      </w:r>
      <w:r w:rsidRPr="00961456">
        <w:rPr>
          <w:rFonts w:ascii="Arial" w:hAnsi="Arial" w:cs="Arial"/>
          <w:bCs/>
        </w:rPr>
        <w:t>, dispuestas</w:t>
      </w:r>
      <w:r w:rsidRPr="00D65CDB">
        <w:rPr>
          <w:rFonts w:ascii="Arial" w:hAnsi="Arial" w:cs="Arial"/>
          <w:bCs/>
        </w:rPr>
        <w:t xml:space="preserve"> por el Comprador, </w:t>
      </w:r>
      <w:r w:rsidR="000C26E2" w:rsidRPr="00D65CDB">
        <w:rPr>
          <w:rFonts w:ascii="Arial" w:hAnsi="Arial" w:cs="Arial"/>
          <w:bCs/>
        </w:rPr>
        <w:t>a saber</w:t>
      </w:r>
      <w:r w:rsidRPr="00D65CDB">
        <w:rPr>
          <w:rFonts w:ascii="Arial" w:hAnsi="Arial" w:cs="Arial"/>
          <w:bCs/>
        </w:rPr>
        <w:t>:</w:t>
      </w:r>
    </w:p>
    <w:p w:rsidR="004B21E0" w:rsidRDefault="004B21E0" w:rsidP="0068094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i/>
        </w:rPr>
      </w:pPr>
    </w:p>
    <w:p w:rsidR="00874150" w:rsidRPr="00D65CDB" w:rsidRDefault="00F17A7E" w:rsidP="0082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CIRCULAR POR CONSULTA </w:t>
      </w:r>
      <w:r w:rsidR="008E0E4A" w:rsidRPr="00D65CDB">
        <w:rPr>
          <w:rFonts w:ascii="Arial" w:hAnsi="Arial" w:cs="Arial"/>
          <w:b/>
          <w:sz w:val="30"/>
          <w:szCs w:val="30"/>
        </w:rPr>
        <w:t>N°</w:t>
      </w:r>
      <w:r w:rsidR="000C26E2" w:rsidRPr="00D65CDB">
        <w:rPr>
          <w:rFonts w:ascii="Arial" w:hAnsi="Arial" w:cs="Arial"/>
          <w:b/>
          <w:sz w:val="30"/>
          <w:szCs w:val="30"/>
        </w:rPr>
        <w:t xml:space="preserve"> </w:t>
      </w:r>
      <w:r w:rsidR="00874150" w:rsidRPr="00D65CDB">
        <w:rPr>
          <w:rFonts w:ascii="Arial" w:hAnsi="Arial" w:cs="Arial"/>
          <w:b/>
          <w:sz w:val="30"/>
          <w:szCs w:val="30"/>
        </w:rPr>
        <w:t xml:space="preserve">1 </w:t>
      </w:r>
    </w:p>
    <w:p w:rsidR="00F17A7E" w:rsidRPr="00F17A7E" w:rsidRDefault="00F17A7E" w:rsidP="00F17A7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u w:val="single"/>
        </w:rPr>
      </w:pPr>
      <w:r w:rsidRPr="00F17A7E">
        <w:rPr>
          <w:rFonts w:ascii="Arial" w:hAnsi="Arial" w:cs="Arial"/>
          <w:b/>
          <w:u w:val="single"/>
        </w:rPr>
        <w:t xml:space="preserve">Consulta 1: </w:t>
      </w:r>
    </w:p>
    <w:p w:rsidR="00F17A7E" w:rsidRDefault="00F17A7E" w:rsidP="00F17A7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</w:rPr>
      </w:pPr>
      <w:r w:rsidRPr="00F17A7E">
        <w:rPr>
          <w:rFonts w:ascii="Arial" w:hAnsi="Arial" w:cs="Arial"/>
        </w:rPr>
        <w:t>Potencial oferente indica;</w:t>
      </w:r>
      <w:r>
        <w:rPr>
          <w:rFonts w:ascii="Arial" w:hAnsi="Arial" w:cs="Arial"/>
        </w:rPr>
        <w:t xml:space="preserve"> </w:t>
      </w:r>
      <w:r w:rsidRPr="00F17A7E">
        <w:rPr>
          <w:rFonts w:ascii="Arial" w:hAnsi="Arial" w:cs="Arial"/>
          <w:bCs/>
          <w:i/>
        </w:rPr>
        <w:t>De la lectura del pliego de asunto no surge el pedido puntual del servicio de mantenimiento de 15 ascensores más un montacargas, el cual se encuentra prestándose en la actualidad.</w:t>
      </w:r>
      <w:r>
        <w:rPr>
          <w:rFonts w:ascii="Arial" w:hAnsi="Arial" w:cs="Arial"/>
          <w:bCs/>
          <w:i/>
        </w:rPr>
        <w:t xml:space="preserve"> </w:t>
      </w:r>
      <w:r w:rsidRPr="00F17A7E">
        <w:rPr>
          <w:rFonts w:ascii="Arial" w:hAnsi="Arial" w:cs="Arial"/>
          <w:bCs/>
          <w:i/>
        </w:rPr>
        <w:t>La consulta de la empresa sobre el particular es si para esta contratación dichos servicio se encuentra excluido??.-</w:t>
      </w:r>
      <w:r>
        <w:rPr>
          <w:rFonts w:ascii="Arial" w:hAnsi="Arial" w:cs="Arial"/>
          <w:bCs/>
          <w:i/>
        </w:rPr>
        <w:t xml:space="preserve"> </w:t>
      </w:r>
      <w:r w:rsidRPr="00F17A7E">
        <w:rPr>
          <w:rFonts w:ascii="Arial" w:hAnsi="Arial" w:cs="Arial"/>
          <w:bCs/>
          <w:i/>
        </w:rPr>
        <w:t xml:space="preserve">En el caso de estar incluido,  con cuál de los 23 operarios solicitados se deberá ejecutar?  Ya que del detalle de los mismos surge dicho pedido. </w:t>
      </w:r>
      <w:r>
        <w:rPr>
          <w:rFonts w:ascii="Arial" w:hAnsi="Arial" w:cs="Arial"/>
          <w:bCs/>
          <w:i/>
        </w:rPr>
        <w:t>–</w:t>
      </w:r>
    </w:p>
    <w:p w:rsidR="00413BD4" w:rsidRPr="00413BD4" w:rsidRDefault="00413BD4" w:rsidP="00413BD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u w:val="single"/>
        </w:rPr>
      </w:pPr>
      <w:r w:rsidRPr="00413BD4">
        <w:rPr>
          <w:rFonts w:ascii="Arial" w:hAnsi="Arial" w:cs="Arial"/>
          <w:b/>
          <w:bCs/>
          <w:u w:val="single"/>
        </w:rPr>
        <w:t>Respuesta 1:</w:t>
      </w:r>
    </w:p>
    <w:p w:rsidR="00F17A7E" w:rsidRPr="00F17A7E" w:rsidRDefault="00F17A7E" w:rsidP="00413BD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</w:rPr>
      </w:pPr>
      <w:r w:rsidRPr="00F17A7E">
        <w:rPr>
          <w:rFonts w:ascii="Arial" w:hAnsi="Arial" w:cs="Arial"/>
          <w:bCs/>
          <w:i/>
        </w:rPr>
        <w:t>Ante consulta recibida sobre si el mantenimiento y conservación de los ascensores del hospital (Total 15) y Montacargas de cocina (total 1), se responde que estos equipos están incluidos en el PETP (Pliego de especificaciones técnicos particulares), listado de equipos electromecánicos a mantener y conservar</w:t>
      </w:r>
      <w:r>
        <w:rPr>
          <w:rFonts w:ascii="Arial" w:hAnsi="Arial" w:cs="Arial"/>
          <w:bCs/>
          <w:i/>
        </w:rPr>
        <w:t>. A pá</w:t>
      </w:r>
      <w:r w:rsidRPr="00F17A7E">
        <w:rPr>
          <w:rFonts w:ascii="Arial" w:hAnsi="Arial" w:cs="Arial"/>
          <w:bCs/>
          <w:i/>
        </w:rPr>
        <w:t>gina 7, se lee:</w:t>
      </w:r>
      <w:r w:rsidR="00413BD4">
        <w:rPr>
          <w:rFonts w:ascii="Arial" w:hAnsi="Arial" w:cs="Arial"/>
          <w:bCs/>
          <w:i/>
        </w:rPr>
        <w:t xml:space="preserve"> “</w:t>
      </w:r>
      <w:r w:rsidRPr="00F17A7E">
        <w:rPr>
          <w:rFonts w:ascii="Arial" w:hAnsi="Arial" w:cs="Arial"/>
          <w:bCs/>
          <w:i/>
        </w:rPr>
        <w:t>Se realizará la operación y el mantenimiento de las instalaciones: </w:t>
      </w:r>
    </w:p>
    <w:p w:rsidR="00F17A7E" w:rsidRPr="00F17A7E" w:rsidRDefault="00F17A7E" w:rsidP="00F17A7E">
      <w:pPr>
        <w:spacing w:after="0" w:line="240" w:lineRule="atLeast"/>
        <w:ind w:left="780"/>
        <w:jc w:val="both"/>
        <w:rPr>
          <w:rFonts w:ascii="Arial" w:hAnsi="Arial" w:cs="Arial"/>
          <w:bCs/>
          <w:i/>
        </w:rPr>
      </w:pPr>
      <w:r w:rsidRPr="00F17A7E">
        <w:rPr>
          <w:rFonts w:ascii="Arial" w:hAnsi="Arial" w:cs="Arial"/>
          <w:bCs/>
          <w:i/>
        </w:rPr>
        <w:t> </w:t>
      </w:r>
      <w:r w:rsidR="00413BD4" w:rsidRPr="003B5737">
        <w:rPr>
          <w:rFonts w:ascii="Wingdings" w:eastAsia="Times New Roman" w:hAnsi="Wingdings"/>
          <w:i/>
          <w:iCs/>
          <w:color w:val="222222"/>
          <w:lang w:eastAsia="es-AR"/>
        </w:rPr>
        <w:t></w:t>
      </w:r>
      <w:r w:rsidR="00413BD4" w:rsidRPr="003B5737">
        <w:rPr>
          <w:rFonts w:ascii="Times New Roman" w:eastAsia="Times New Roman" w:hAnsi="Times New Roman"/>
          <w:i/>
          <w:iCs/>
          <w:color w:val="222222"/>
          <w:sz w:val="14"/>
          <w:szCs w:val="14"/>
          <w:lang w:eastAsia="es-AR"/>
        </w:rPr>
        <w:t> </w:t>
      </w:r>
      <w:r w:rsidR="00413BD4">
        <w:rPr>
          <w:rFonts w:ascii="Arial" w:hAnsi="Arial" w:cs="Arial"/>
          <w:bCs/>
          <w:i/>
        </w:rPr>
        <w:t xml:space="preserve"> </w:t>
      </w:r>
      <w:r w:rsidRPr="00F17A7E">
        <w:rPr>
          <w:rFonts w:ascii="Arial" w:hAnsi="Arial" w:cs="Arial"/>
          <w:b/>
          <w:bCs/>
          <w:i/>
        </w:rPr>
        <w:t>Transporte vertical, ascensores públicos y técnicos, hidráulicos y electromecánicos, montacargas de cocina, Cantidad 16</w:t>
      </w:r>
      <w:r w:rsidRPr="00F17A7E">
        <w:rPr>
          <w:rFonts w:ascii="Arial" w:hAnsi="Arial" w:cs="Arial"/>
          <w:bCs/>
          <w:i/>
        </w:rPr>
        <w:t>.</w:t>
      </w:r>
      <w:r w:rsidR="00413BD4">
        <w:rPr>
          <w:rFonts w:ascii="Arial" w:hAnsi="Arial" w:cs="Arial"/>
          <w:bCs/>
          <w:i/>
        </w:rPr>
        <w:t>”</w:t>
      </w:r>
    </w:p>
    <w:p w:rsidR="00F17A7E" w:rsidRPr="00F17A7E" w:rsidRDefault="00F17A7E" w:rsidP="00F17A7E">
      <w:pPr>
        <w:spacing w:after="0" w:line="240" w:lineRule="atLeast"/>
        <w:ind w:left="780"/>
        <w:jc w:val="both"/>
        <w:rPr>
          <w:rFonts w:ascii="Arial" w:hAnsi="Arial" w:cs="Arial"/>
          <w:bCs/>
          <w:i/>
        </w:rPr>
      </w:pPr>
    </w:p>
    <w:p w:rsidR="00F17A7E" w:rsidRPr="00F17A7E" w:rsidRDefault="00413BD4" w:rsidP="00F17A7E">
      <w:pPr>
        <w:spacing w:after="0" w:line="24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Asimismo se aclara que l</w:t>
      </w:r>
      <w:r w:rsidR="00F17A7E" w:rsidRPr="00F17A7E">
        <w:rPr>
          <w:rFonts w:ascii="Arial" w:hAnsi="Arial" w:cs="Arial"/>
          <w:bCs/>
          <w:i/>
        </w:rPr>
        <w:t xml:space="preserve">os trabajos de conservación y mantenimiento preventivo deberá realizarse por intermedio </w:t>
      </w:r>
      <w:r w:rsidRPr="00F17A7E">
        <w:rPr>
          <w:rFonts w:ascii="Arial" w:hAnsi="Arial" w:cs="Arial"/>
          <w:bCs/>
          <w:i/>
        </w:rPr>
        <w:t>de técnicos</w:t>
      </w:r>
      <w:r w:rsidR="00F17A7E" w:rsidRPr="00F17A7E">
        <w:rPr>
          <w:rFonts w:ascii="Arial" w:hAnsi="Arial" w:cs="Arial"/>
          <w:bCs/>
          <w:i/>
        </w:rPr>
        <w:t xml:space="preserve"> especializados en el rubro particular de ascensores y garantizar el funcionamiento correcto, como así también la cobertura por emergencias las 24  hs. x 365 días., con asistencia en un plazo máximo de 2 Hs. ante la convocatoria del representante del hospital.</w:t>
      </w:r>
      <w:r>
        <w:rPr>
          <w:rFonts w:ascii="Arial" w:hAnsi="Arial" w:cs="Arial"/>
          <w:bCs/>
          <w:i/>
        </w:rPr>
        <w:t xml:space="preserve"> </w:t>
      </w:r>
      <w:r w:rsidR="00F17A7E" w:rsidRPr="00F17A7E">
        <w:rPr>
          <w:rFonts w:ascii="Arial" w:hAnsi="Arial" w:cs="Arial"/>
          <w:bCs/>
          <w:i/>
        </w:rPr>
        <w:t>Este personal no está obligado a  cumplir horario de trabajo fijo en el hospital y no forma parte de la lista de 23 personas, definidas por especialidad y presencia horaria en las hojas Nº 16 del PETP.</w:t>
      </w:r>
    </w:p>
    <w:p w:rsidR="00F17A7E" w:rsidRPr="00413BD4" w:rsidRDefault="00F17A7E" w:rsidP="00F17A7E">
      <w:pPr>
        <w:spacing w:line="240" w:lineRule="auto"/>
        <w:contextualSpacing/>
        <w:jc w:val="both"/>
        <w:rPr>
          <w:rFonts w:ascii="Arial" w:hAnsi="Arial" w:cs="Arial"/>
          <w:bCs/>
          <w:i/>
        </w:rPr>
      </w:pPr>
    </w:p>
    <w:p w:rsidR="00F17A7E" w:rsidRDefault="00F17A7E" w:rsidP="00474781">
      <w:pPr>
        <w:spacing w:line="240" w:lineRule="auto"/>
        <w:ind w:left="426"/>
        <w:contextualSpacing/>
        <w:jc w:val="center"/>
        <w:rPr>
          <w:rFonts w:ascii="Arial" w:hAnsi="Arial" w:cs="Arial"/>
        </w:rPr>
      </w:pPr>
    </w:p>
    <w:p w:rsidR="00F17A7E" w:rsidRDefault="00F17A7E" w:rsidP="00474781">
      <w:pPr>
        <w:spacing w:line="240" w:lineRule="auto"/>
        <w:ind w:left="426"/>
        <w:contextualSpacing/>
        <w:jc w:val="center"/>
        <w:rPr>
          <w:rFonts w:ascii="Arial" w:hAnsi="Arial" w:cs="Arial"/>
        </w:rPr>
      </w:pPr>
    </w:p>
    <w:p w:rsidR="00F17A7E" w:rsidRDefault="00F17A7E" w:rsidP="00474781">
      <w:pPr>
        <w:spacing w:line="240" w:lineRule="auto"/>
        <w:ind w:left="426"/>
        <w:contextualSpacing/>
        <w:jc w:val="center"/>
        <w:rPr>
          <w:rFonts w:ascii="Arial" w:hAnsi="Arial" w:cs="Arial"/>
        </w:rPr>
      </w:pPr>
    </w:p>
    <w:p w:rsidR="00F17A7E" w:rsidRDefault="00F17A7E" w:rsidP="00474781">
      <w:pPr>
        <w:spacing w:line="240" w:lineRule="auto"/>
        <w:ind w:left="426"/>
        <w:contextualSpacing/>
        <w:jc w:val="center"/>
        <w:rPr>
          <w:rFonts w:ascii="Arial" w:hAnsi="Arial" w:cs="Arial"/>
        </w:rPr>
      </w:pPr>
    </w:p>
    <w:p w:rsidR="00F17A7E" w:rsidRDefault="00F17A7E" w:rsidP="00474781">
      <w:pPr>
        <w:spacing w:line="240" w:lineRule="auto"/>
        <w:ind w:left="426"/>
        <w:contextualSpacing/>
        <w:jc w:val="center"/>
        <w:rPr>
          <w:rFonts w:ascii="Arial" w:hAnsi="Arial" w:cs="Arial"/>
        </w:rPr>
      </w:pPr>
    </w:p>
    <w:p w:rsidR="00DE5617" w:rsidRDefault="00DE5617" w:rsidP="00474781">
      <w:pPr>
        <w:spacing w:line="240" w:lineRule="auto"/>
        <w:ind w:left="426"/>
        <w:contextualSpacing/>
        <w:jc w:val="center"/>
        <w:rPr>
          <w:rFonts w:ascii="Arial" w:hAnsi="Arial" w:cs="Arial"/>
          <w:sz w:val="20"/>
          <w:szCs w:val="20"/>
        </w:rPr>
      </w:pPr>
      <w:r w:rsidRPr="00D65CDB">
        <w:rPr>
          <w:rFonts w:ascii="Arial" w:hAnsi="Arial" w:cs="Arial"/>
        </w:rPr>
        <w:t xml:space="preserve">Sin otro particular saludamos a Ustedes muy </w:t>
      </w:r>
      <w:r w:rsidR="008E0E4A" w:rsidRPr="00D65CDB">
        <w:rPr>
          <w:rFonts w:ascii="Arial" w:hAnsi="Arial" w:cs="Arial"/>
        </w:rPr>
        <w:t>atentamente. -</w:t>
      </w: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Pr="00D65CDB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474781" w:rsidRPr="00D65CDB" w:rsidSect="00413BD4">
      <w:headerReference w:type="default" r:id="rId8"/>
      <w:footerReference w:type="default" r:id="rId9"/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3" w:rsidRDefault="00577CF3" w:rsidP="009A0522">
      <w:pPr>
        <w:spacing w:after="0" w:line="240" w:lineRule="auto"/>
      </w:pPr>
      <w:r>
        <w:separator/>
      </w:r>
    </w:p>
  </w:endnote>
  <w:endnote w:type="continuationSeparator" w:id="0">
    <w:p w:rsidR="00577CF3" w:rsidRDefault="00577CF3" w:rsidP="009A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EA" w:rsidRDefault="00FC00E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-67310</wp:posOffset>
          </wp:positionV>
          <wp:extent cx="7230110" cy="400685"/>
          <wp:effectExtent l="19050" t="0" r="8890" b="0"/>
          <wp:wrapNone/>
          <wp:docPr id="10" name="1 Imagen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3" w:rsidRDefault="00577CF3" w:rsidP="009A0522">
      <w:pPr>
        <w:spacing w:after="0" w:line="240" w:lineRule="auto"/>
      </w:pPr>
      <w:r>
        <w:separator/>
      </w:r>
    </w:p>
  </w:footnote>
  <w:footnote w:type="continuationSeparator" w:id="0">
    <w:p w:rsidR="00577CF3" w:rsidRDefault="00577CF3" w:rsidP="009A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EA" w:rsidRDefault="00FC00EA" w:rsidP="009A052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-194310</wp:posOffset>
          </wp:positionV>
          <wp:extent cx="6424295" cy="744220"/>
          <wp:effectExtent l="19050" t="0" r="0" b="0"/>
          <wp:wrapNone/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9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00EA" w:rsidRDefault="00FC00EA" w:rsidP="009A0522">
    <w:pPr>
      <w:pStyle w:val="Encabezado"/>
    </w:pPr>
  </w:p>
  <w:p w:rsidR="00FC00EA" w:rsidRDefault="00FC00EA" w:rsidP="009A0522">
    <w:pPr>
      <w:pStyle w:val="Encabezado"/>
    </w:pPr>
  </w:p>
  <w:p w:rsidR="00FC00EA" w:rsidRPr="009A0522" w:rsidRDefault="00FC00EA" w:rsidP="009A05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  <w:b/>
      </w:rPr>
    </w:lvl>
  </w:abstractNum>
  <w:abstractNum w:abstractNumId="3" w15:restartNumberingAfterBreak="0">
    <w:nsid w:val="174604CC"/>
    <w:multiLevelType w:val="hybridMultilevel"/>
    <w:tmpl w:val="726C025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2A0"/>
    <w:multiLevelType w:val="hybridMultilevel"/>
    <w:tmpl w:val="41444C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4B1D"/>
    <w:multiLevelType w:val="hybridMultilevel"/>
    <w:tmpl w:val="D38EA5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8D6"/>
    <w:multiLevelType w:val="hybridMultilevel"/>
    <w:tmpl w:val="E9AAAD26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42A42"/>
    <w:multiLevelType w:val="hybridMultilevel"/>
    <w:tmpl w:val="AE1050F6"/>
    <w:lvl w:ilvl="0" w:tplc="63761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3245"/>
    <w:multiLevelType w:val="hybridMultilevel"/>
    <w:tmpl w:val="DFAA232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630A"/>
    <w:multiLevelType w:val="hybridMultilevel"/>
    <w:tmpl w:val="8A405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B0537"/>
    <w:multiLevelType w:val="hybridMultilevel"/>
    <w:tmpl w:val="04CA2648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0374"/>
    <w:multiLevelType w:val="hybridMultilevel"/>
    <w:tmpl w:val="3EC210C6"/>
    <w:lvl w:ilvl="0" w:tplc="B78AE0E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03C17"/>
    <w:multiLevelType w:val="hybridMultilevel"/>
    <w:tmpl w:val="ED7AF3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6BC4"/>
    <w:multiLevelType w:val="multilevel"/>
    <w:tmpl w:val="84A4FB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2"/>
    <w:rsid w:val="00044AA1"/>
    <w:rsid w:val="000548A0"/>
    <w:rsid w:val="000555F4"/>
    <w:rsid w:val="00055E20"/>
    <w:rsid w:val="00062CA7"/>
    <w:rsid w:val="00086CD1"/>
    <w:rsid w:val="000905C0"/>
    <w:rsid w:val="000C26E2"/>
    <w:rsid w:val="000C2C7E"/>
    <w:rsid w:val="000F7C28"/>
    <w:rsid w:val="0014509C"/>
    <w:rsid w:val="001757DC"/>
    <w:rsid w:val="002D6FA1"/>
    <w:rsid w:val="002E6FD8"/>
    <w:rsid w:val="00334932"/>
    <w:rsid w:val="003420FB"/>
    <w:rsid w:val="00352B22"/>
    <w:rsid w:val="00353A2F"/>
    <w:rsid w:val="00361B98"/>
    <w:rsid w:val="00377A9A"/>
    <w:rsid w:val="0039401E"/>
    <w:rsid w:val="003C205C"/>
    <w:rsid w:val="00413BD4"/>
    <w:rsid w:val="00447130"/>
    <w:rsid w:val="004524A2"/>
    <w:rsid w:val="00474781"/>
    <w:rsid w:val="00481C8A"/>
    <w:rsid w:val="004A7D1B"/>
    <w:rsid w:val="004B21E0"/>
    <w:rsid w:val="00502B83"/>
    <w:rsid w:val="0051707E"/>
    <w:rsid w:val="00577CF3"/>
    <w:rsid w:val="005823B0"/>
    <w:rsid w:val="005C008C"/>
    <w:rsid w:val="005D1E6B"/>
    <w:rsid w:val="005D61E9"/>
    <w:rsid w:val="00607500"/>
    <w:rsid w:val="006469EA"/>
    <w:rsid w:val="0068094E"/>
    <w:rsid w:val="006A79C0"/>
    <w:rsid w:val="006C0CA6"/>
    <w:rsid w:val="006D40DA"/>
    <w:rsid w:val="006D435D"/>
    <w:rsid w:val="00705FC6"/>
    <w:rsid w:val="007746DF"/>
    <w:rsid w:val="007B39D7"/>
    <w:rsid w:val="00810E65"/>
    <w:rsid w:val="00817005"/>
    <w:rsid w:val="00826DE1"/>
    <w:rsid w:val="00864CE4"/>
    <w:rsid w:val="00866FAE"/>
    <w:rsid w:val="00874150"/>
    <w:rsid w:val="008C20E5"/>
    <w:rsid w:val="008C562C"/>
    <w:rsid w:val="008E0E4A"/>
    <w:rsid w:val="008E2B62"/>
    <w:rsid w:val="008F39B6"/>
    <w:rsid w:val="00903AF5"/>
    <w:rsid w:val="009206C6"/>
    <w:rsid w:val="00937BAB"/>
    <w:rsid w:val="00946280"/>
    <w:rsid w:val="00961456"/>
    <w:rsid w:val="009A0522"/>
    <w:rsid w:val="009C1A89"/>
    <w:rsid w:val="009F1205"/>
    <w:rsid w:val="009F50BB"/>
    <w:rsid w:val="00A30634"/>
    <w:rsid w:val="00A65B61"/>
    <w:rsid w:val="00A82931"/>
    <w:rsid w:val="00AF42D5"/>
    <w:rsid w:val="00B0361B"/>
    <w:rsid w:val="00B53D18"/>
    <w:rsid w:val="00BB749F"/>
    <w:rsid w:val="00C2060D"/>
    <w:rsid w:val="00C41DC4"/>
    <w:rsid w:val="00C63EE6"/>
    <w:rsid w:val="00CC2BE4"/>
    <w:rsid w:val="00CC5637"/>
    <w:rsid w:val="00D01294"/>
    <w:rsid w:val="00D636FD"/>
    <w:rsid w:val="00D65CDB"/>
    <w:rsid w:val="00DD22ED"/>
    <w:rsid w:val="00DD28B8"/>
    <w:rsid w:val="00DE5617"/>
    <w:rsid w:val="00E11815"/>
    <w:rsid w:val="00E31861"/>
    <w:rsid w:val="00E43272"/>
    <w:rsid w:val="00E5356C"/>
    <w:rsid w:val="00E57B0E"/>
    <w:rsid w:val="00E85EA7"/>
    <w:rsid w:val="00F17A7E"/>
    <w:rsid w:val="00F322F7"/>
    <w:rsid w:val="00F62572"/>
    <w:rsid w:val="00F8517D"/>
    <w:rsid w:val="00F95053"/>
    <w:rsid w:val="00FC00EA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98CB9"/>
  <w15:docId w15:val="{4D41C4B7-04E4-463F-AD5B-1FEC502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41DC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C41DC4"/>
    <w:pPr>
      <w:keepNext/>
      <w:tabs>
        <w:tab w:val="num" w:pos="0"/>
      </w:tabs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 w:eastAsia="ar-SA"/>
    </w:rPr>
  </w:style>
  <w:style w:type="paragraph" w:styleId="Ttulo3">
    <w:name w:val="heading 3"/>
    <w:basedOn w:val="Normal"/>
    <w:next w:val="Normal"/>
    <w:link w:val="Ttulo3Car"/>
    <w:qFormat/>
    <w:rsid w:val="00C41DC4"/>
    <w:pPr>
      <w:keepNext/>
      <w:tabs>
        <w:tab w:val="num" w:pos="0"/>
      </w:tabs>
      <w:suppressAutoHyphens/>
      <w:spacing w:after="0" w:line="240" w:lineRule="auto"/>
      <w:ind w:left="2160" w:hanging="360"/>
      <w:jc w:val="both"/>
      <w:outlineLvl w:val="2"/>
    </w:pPr>
    <w:rPr>
      <w:rFonts w:ascii="Bookman Old Style" w:eastAsia="Times New Roman" w:hAnsi="Bookman Old Style" w:cs="Bookman Old Style"/>
      <w:sz w:val="26"/>
      <w:u w:val="single"/>
      <w:lang w:eastAsia="ar-SA"/>
    </w:rPr>
  </w:style>
  <w:style w:type="paragraph" w:styleId="Ttulo5">
    <w:name w:val="heading 5"/>
    <w:basedOn w:val="Normal"/>
    <w:next w:val="Normal"/>
    <w:link w:val="Ttulo5Car"/>
    <w:qFormat/>
    <w:rsid w:val="00C41DC4"/>
    <w:pPr>
      <w:keepNext/>
      <w:tabs>
        <w:tab w:val="num" w:pos="0"/>
      </w:tabs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b/>
      <w:bCs/>
      <w:sz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0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0522"/>
  </w:style>
  <w:style w:type="paragraph" w:styleId="Piedepgina">
    <w:name w:val="footer"/>
    <w:basedOn w:val="Normal"/>
    <w:link w:val="PiedepginaCar"/>
    <w:uiPriority w:val="99"/>
    <w:semiHidden/>
    <w:unhideWhenUsed/>
    <w:rsid w:val="009A0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0522"/>
  </w:style>
  <w:style w:type="paragraph" w:styleId="Textodeglobo">
    <w:name w:val="Balloon Text"/>
    <w:basedOn w:val="Normal"/>
    <w:link w:val="TextodegloboCar"/>
    <w:uiPriority w:val="99"/>
    <w:semiHidden/>
    <w:unhideWhenUsed/>
    <w:rsid w:val="009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52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41DC4"/>
    <w:rPr>
      <w:rFonts w:ascii="Times New Roman" w:eastAsia="Times New Roman" w:hAnsi="Times New Roman"/>
      <w:b/>
      <w:bCs/>
      <w:i/>
      <w:iCs/>
      <w:sz w:val="24"/>
      <w:szCs w:val="24"/>
      <w:u w:val="single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C41DC4"/>
    <w:rPr>
      <w:rFonts w:ascii="Times New Roman" w:eastAsia="Times New Roman" w:hAnsi="Times New Roman"/>
      <w:b/>
      <w:bCs/>
      <w:i/>
      <w:iCs/>
      <w:sz w:val="24"/>
      <w:szCs w:val="24"/>
      <w:u w:val="single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C41DC4"/>
    <w:rPr>
      <w:rFonts w:ascii="Bookman Old Style" w:eastAsia="Times New Roman" w:hAnsi="Bookman Old Style" w:cs="Bookman Old Style"/>
      <w:sz w:val="26"/>
      <w:szCs w:val="22"/>
      <w:u w:val="single"/>
      <w:lang w:eastAsia="ar-SA"/>
    </w:rPr>
  </w:style>
  <w:style w:type="character" w:customStyle="1" w:styleId="Ttulo5Car">
    <w:name w:val="Título 5 Car"/>
    <w:basedOn w:val="Fuentedeprrafopredeter"/>
    <w:link w:val="Ttulo5"/>
    <w:rsid w:val="00C41DC4"/>
    <w:rPr>
      <w:rFonts w:ascii="Bookman Old Style" w:eastAsia="Times New Roman" w:hAnsi="Bookman Old Style" w:cs="Bookman Old Style"/>
      <w:b/>
      <w:bCs/>
      <w:sz w:val="26"/>
      <w:szCs w:val="22"/>
      <w:lang w:eastAsia="ar-SA"/>
    </w:rPr>
  </w:style>
  <w:style w:type="paragraph" w:styleId="Textoindependiente">
    <w:name w:val="Body Text"/>
    <w:basedOn w:val="Normal"/>
    <w:link w:val="TextoindependienteCar"/>
    <w:rsid w:val="00C41DC4"/>
    <w:pPr>
      <w:suppressAutoHyphens/>
      <w:spacing w:after="120"/>
    </w:pPr>
    <w:rPr>
      <w:rFonts w:cs="Calibri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1DC4"/>
    <w:rPr>
      <w:rFonts w:cs="Calibri"/>
      <w:sz w:val="22"/>
      <w:szCs w:val="22"/>
      <w:lang w:eastAsia="ar-SA"/>
    </w:rPr>
  </w:style>
  <w:style w:type="paragraph" w:customStyle="1" w:styleId="Sangra2detindependiente1">
    <w:name w:val="Sangría 2 de t. independiente1"/>
    <w:basedOn w:val="Normal"/>
    <w:rsid w:val="00C41DC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customStyle="1" w:styleId="Sangra3detindependiente1">
    <w:name w:val="Sangría 3 de t. independiente1"/>
    <w:basedOn w:val="Normal"/>
    <w:rsid w:val="00C41DC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41DC4"/>
    <w:pPr>
      <w:suppressAutoHyphens/>
      <w:ind w:left="720"/>
      <w:contextualSpacing/>
    </w:pPr>
    <w:rPr>
      <w:rFonts w:cs="Calibri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29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293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17A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A7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A7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6A53-C728-48D4-8749-F1450FC5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Usuario</cp:lastModifiedBy>
  <cp:revision>11</cp:revision>
  <cp:lastPrinted>2018-10-29T18:23:00Z</cp:lastPrinted>
  <dcterms:created xsi:type="dcterms:W3CDTF">2019-03-13T22:04:00Z</dcterms:created>
  <dcterms:modified xsi:type="dcterms:W3CDTF">2019-03-22T17:35:00Z</dcterms:modified>
</cp:coreProperties>
</file>